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C5" w:rsidRPr="006A7F26" w:rsidRDefault="002E16C5" w:rsidP="002E16C5">
      <w:pPr>
        <w:rPr>
          <w:rFonts w:ascii="Rockwell" w:hAnsi="Rockwell"/>
          <w:sz w:val="20"/>
          <w:szCs w:val="20"/>
        </w:rPr>
      </w:pPr>
      <w:r w:rsidRPr="006A7F26">
        <w:rPr>
          <w:rFonts w:ascii="Rockwell" w:hAnsi="Rockwell"/>
          <w:sz w:val="20"/>
          <w:szCs w:val="20"/>
        </w:rPr>
        <w:t>AP American History Review</w:t>
      </w:r>
      <w:r w:rsidRPr="006A7F26">
        <w:rPr>
          <w:rFonts w:ascii="Rockwell" w:hAnsi="Rockwell"/>
          <w:sz w:val="20"/>
          <w:szCs w:val="20"/>
        </w:rPr>
        <w:tab/>
      </w:r>
      <w:r w:rsidRPr="006A7F26">
        <w:rPr>
          <w:rFonts w:ascii="Rockwell" w:hAnsi="Rockwell"/>
          <w:sz w:val="20"/>
          <w:szCs w:val="20"/>
        </w:rPr>
        <w:tab/>
      </w:r>
      <w:r w:rsidRPr="006A7F26">
        <w:rPr>
          <w:rFonts w:ascii="Rockwell" w:hAnsi="Rockwell"/>
          <w:sz w:val="20"/>
          <w:szCs w:val="20"/>
        </w:rPr>
        <w:tab/>
      </w:r>
      <w:r w:rsidRPr="006A7F26">
        <w:rPr>
          <w:rFonts w:ascii="Rockwell" w:hAnsi="Rockwell"/>
          <w:sz w:val="20"/>
          <w:szCs w:val="20"/>
        </w:rPr>
        <w:tab/>
      </w:r>
      <w:r w:rsidRPr="006A7F26">
        <w:rPr>
          <w:rFonts w:ascii="Rockwell" w:hAnsi="Rockwell"/>
          <w:sz w:val="20"/>
          <w:szCs w:val="20"/>
        </w:rPr>
        <w:tab/>
      </w:r>
      <w:r w:rsidRPr="006A7F26">
        <w:rPr>
          <w:rFonts w:ascii="Rockwell" w:hAnsi="Rockwell"/>
          <w:sz w:val="20"/>
          <w:szCs w:val="20"/>
        </w:rPr>
        <w:tab/>
      </w:r>
      <w:r w:rsidRPr="006A7F26">
        <w:rPr>
          <w:rFonts w:ascii="Rockwell" w:hAnsi="Rockwell"/>
          <w:sz w:val="20"/>
          <w:szCs w:val="20"/>
        </w:rPr>
        <w:tab/>
      </w:r>
      <w:r w:rsidRPr="006A7F26">
        <w:rPr>
          <w:rFonts w:ascii="Rockwell" w:hAnsi="Rockwell"/>
          <w:sz w:val="20"/>
          <w:szCs w:val="20"/>
        </w:rPr>
        <w:tab/>
      </w:r>
      <w:r w:rsidRPr="006A7F26">
        <w:rPr>
          <w:rFonts w:ascii="Rockwell" w:hAnsi="Rockwell"/>
          <w:sz w:val="20"/>
          <w:szCs w:val="20"/>
        </w:rPr>
        <w:tab/>
      </w:r>
      <w:r w:rsidRPr="006A7F26">
        <w:rPr>
          <w:rFonts w:ascii="Rockwell" w:hAnsi="Rockwell"/>
          <w:sz w:val="20"/>
          <w:szCs w:val="20"/>
        </w:rPr>
        <w:tab/>
        <w:t>Mrs. Scherer</w:t>
      </w:r>
    </w:p>
    <w:p w:rsidR="002E16C5" w:rsidRPr="006A7F26" w:rsidRDefault="002E16C5" w:rsidP="002E16C5">
      <w:pPr>
        <w:rPr>
          <w:rFonts w:ascii="Rockwell" w:hAnsi="Rockwell"/>
          <w:sz w:val="20"/>
          <w:szCs w:val="20"/>
        </w:rPr>
      </w:pPr>
      <w:r>
        <w:rPr>
          <w:rFonts w:ascii="Rockwell" w:hAnsi="Rockwell"/>
          <w:sz w:val="20"/>
          <w:szCs w:val="20"/>
        </w:rPr>
        <w:t>Review Sheet</w:t>
      </w:r>
      <w:r w:rsidRPr="006A7F26">
        <w:rPr>
          <w:rFonts w:ascii="Rockwell" w:hAnsi="Rockwell"/>
          <w:sz w:val="20"/>
          <w:szCs w:val="20"/>
        </w:rPr>
        <w:t>:  Periodization</w:t>
      </w:r>
      <w:r>
        <w:rPr>
          <w:rFonts w:ascii="Rockwell" w:hAnsi="Rockwell"/>
          <w:sz w:val="20"/>
          <w:szCs w:val="20"/>
        </w:rPr>
        <w:t xml:space="preserve">                           DUE DATE:  _____________________________________</w:t>
      </w:r>
    </w:p>
    <w:p w:rsidR="002E16C5" w:rsidRPr="006A7F26" w:rsidRDefault="002E16C5" w:rsidP="002E16C5">
      <w:pPr>
        <w:rPr>
          <w:rFonts w:ascii="Rockwell" w:hAnsi="Rockwell"/>
          <w:sz w:val="20"/>
          <w:szCs w:val="20"/>
        </w:rPr>
      </w:pPr>
      <w:r w:rsidRPr="006A7F26">
        <w:rPr>
          <w:rFonts w:ascii="Rockwell" w:hAnsi="Rockwell"/>
          <w:sz w:val="20"/>
          <w:szCs w:val="20"/>
        </w:rPr>
        <w:t>Periodization:  to accomplish this historians identify turning points and recognize that the choice of specific dates gives a higher value to one narrative, region, or group than to other narratives, regions or groups.  Listed below are major turning points in American history.  In each case, identify the implied event, comment on its significance, and then list at least three contemporaneous movements, trends, or activities in literature, science, art, or economics.  This brainstorming activity will help you to develop the skills to put your Long-Essay’s in historical context.  For purposes of this activity, define “contemporaneous as any event within a five year period of the event.</w:t>
      </w:r>
    </w:p>
    <w:tbl>
      <w:tblPr>
        <w:tblStyle w:val="TableGrid"/>
        <w:tblW w:w="0" w:type="auto"/>
        <w:tblLook w:val="04A0" w:firstRow="1" w:lastRow="0" w:firstColumn="1" w:lastColumn="0" w:noHBand="0" w:noVBand="1"/>
      </w:tblPr>
      <w:tblGrid>
        <w:gridCol w:w="11016"/>
      </w:tblGrid>
      <w:tr w:rsidR="002E16C5" w:rsidTr="002E16C5">
        <w:tc>
          <w:tcPr>
            <w:tcW w:w="11016" w:type="dxa"/>
          </w:tcPr>
          <w:p w:rsidR="002E16C5" w:rsidRPr="000D3950" w:rsidRDefault="002E16C5" w:rsidP="002E16C5">
            <w:pPr>
              <w:rPr>
                <w:rFonts w:ascii="Rockwell" w:hAnsi="Rockwell"/>
                <w:b/>
                <w:sz w:val="18"/>
                <w:szCs w:val="18"/>
              </w:rPr>
            </w:pPr>
            <w:r w:rsidRPr="000D3950">
              <w:rPr>
                <w:rFonts w:ascii="Rockwell" w:hAnsi="Rockwell"/>
                <w:b/>
                <w:sz w:val="18"/>
                <w:szCs w:val="18"/>
              </w:rPr>
              <w:t>1763</w:t>
            </w:r>
          </w:p>
          <w:p w:rsidR="002E16C5" w:rsidRPr="007E57D5" w:rsidRDefault="002E16C5" w:rsidP="002E16C5">
            <w:pPr>
              <w:rPr>
                <w:rFonts w:ascii="Rockwell" w:hAnsi="Rockwell"/>
                <w:b/>
                <w:sz w:val="18"/>
                <w:szCs w:val="18"/>
                <w:u w:val="single"/>
              </w:rPr>
            </w:pPr>
            <w:r w:rsidRPr="007E57D5">
              <w:rPr>
                <w:rFonts w:ascii="Rockwell" w:hAnsi="Rockwell"/>
                <w:b/>
                <w:sz w:val="18"/>
                <w:szCs w:val="18"/>
                <w:u w:val="single"/>
              </w:rPr>
              <w:t>Event:  Treaty of Paris ended the French and Indian War</w:t>
            </w:r>
          </w:p>
          <w:p w:rsidR="002E16C5" w:rsidRPr="000D3950" w:rsidRDefault="002E16C5" w:rsidP="002E16C5">
            <w:pPr>
              <w:rPr>
                <w:rFonts w:ascii="Rockwell" w:hAnsi="Rockwell"/>
                <w:sz w:val="18"/>
                <w:szCs w:val="18"/>
              </w:rPr>
            </w:pPr>
            <w:r w:rsidRPr="000D3950">
              <w:rPr>
                <w:rFonts w:ascii="Rockwell" w:hAnsi="Rockwell"/>
                <w:sz w:val="18"/>
                <w:szCs w:val="18"/>
              </w:rPr>
              <w:t>Significance:</w:t>
            </w:r>
            <w:r>
              <w:rPr>
                <w:rFonts w:ascii="Rockwell" w:hAnsi="Rockwell"/>
                <w:sz w:val="18"/>
                <w:szCs w:val="18"/>
              </w:rPr>
              <w:t xml:space="preserve"> The British won control of al land west to the Mississippi River.  This British victory left the colonists with no foreign enemies on their immediate borders. The British realized they needed money to pay for past wars and administering new lands.</w:t>
            </w:r>
          </w:p>
          <w:p w:rsidR="002E16C5" w:rsidRPr="000D3950" w:rsidRDefault="002E16C5" w:rsidP="002E16C5">
            <w:pPr>
              <w:rPr>
                <w:rFonts w:ascii="Rockwell" w:hAnsi="Rockwell"/>
                <w:sz w:val="18"/>
                <w:szCs w:val="18"/>
              </w:rPr>
            </w:pPr>
            <w:r w:rsidRPr="000D3950">
              <w:rPr>
                <w:rFonts w:ascii="Rockwell" w:hAnsi="Rockwell"/>
                <w:sz w:val="18"/>
                <w:szCs w:val="18"/>
              </w:rPr>
              <w:t>Related Events:</w:t>
            </w:r>
          </w:p>
          <w:p w:rsidR="002E16C5" w:rsidRPr="000D3950" w:rsidRDefault="002E16C5" w:rsidP="002E16C5">
            <w:pPr>
              <w:rPr>
                <w:rFonts w:ascii="Rockwell" w:hAnsi="Rockwell"/>
                <w:sz w:val="18"/>
                <w:szCs w:val="18"/>
              </w:rPr>
            </w:pPr>
            <w:r w:rsidRPr="000D3950">
              <w:rPr>
                <w:rFonts w:ascii="Rockwell" w:hAnsi="Rockwell"/>
                <w:sz w:val="18"/>
                <w:szCs w:val="18"/>
              </w:rPr>
              <w:t>a.</w:t>
            </w:r>
            <w:r>
              <w:rPr>
                <w:rFonts w:ascii="Rockwell" w:hAnsi="Rockwell"/>
                <w:sz w:val="18"/>
                <w:szCs w:val="18"/>
              </w:rPr>
              <w:t xml:space="preserve">  Proclamation Line of 1763 – no settlement west of the Appalachian mountains angered land hungry settlers</w:t>
            </w:r>
          </w:p>
          <w:p w:rsidR="002E16C5" w:rsidRPr="000D3950" w:rsidRDefault="002E16C5" w:rsidP="002E16C5">
            <w:pPr>
              <w:rPr>
                <w:rFonts w:ascii="Rockwell" w:hAnsi="Rockwell"/>
                <w:sz w:val="18"/>
                <w:szCs w:val="18"/>
              </w:rPr>
            </w:pPr>
            <w:r w:rsidRPr="000D3950">
              <w:rPr>
                <w:rFonts w:ascii="Rockwell" w:hAnsi="Rockwell"/>
                <w:sz w:val="18"/>
                <w:szCs w:val="18"/>
              </w:rPr>
              <w:t>b.</w:t>
            </w:r>
            <w:r>
              <w:rPr>
                <w:rFonts w:ascii="Rockwell" w:hAnsi="Rockwell"/>
                <w:sz w:val="18"/>
                <w:szCs w:val="18"/>
              </w:rPr>
              <w:t xml:space="preserve"> Grenville Tax Program – end of salutary  neglect and beginning of a series of taxes (Stamp Act, Townsend Acts, ) to raise revenue</w:t>
            </w:r>
          </w:p>
          <w:p w:rsidR="002E16C5" w:rsidRPr="002E16C5" w:rsidRDefault="002E16C5" w:rsidP="002E16C5">
            <w:pPr>
              <w:rPr>
                <w:rFonts w:ascii="Rockwell" w:hAnsi="Rockwell"/>
                <w:sz w:val="18"/>
                <w:szCs w:val="18"/>
              </w:rPr>
            </w:pPr>
            <w:r w:rsidRPr="000D3950">
              <w:rPr>
                <w:rFonts w:ascii="Rockwell" w:hAnsi="Rockwell"/>
                <w:sz w:val="18"/>
                <w:szCs w:val="18"/>
              </w:rPr>
              <w:t>c.</w:t>
            </w:r>
            <w:r>
              <w:rPr>
                <w:rFonts w:ascii="Rockwell" w:hAnsi="Rockwell"/>
                <w:sz w:val="18"/>
                <w:szCs w:val="18"/>
              </w:rPr>
              <w:t xml:space="preserve"> “No taxation without representation” cried the colonists and thus began the class than ended in the American Revolution.</w:t>
            </w:r>
          </w:p>
          <w:p w:rsidR="002E16C5" w:rsidRDefault="002E16C5" w:rsidP="002E16C5">
            <w:pPr>
              <w:rPr>
                <w:rFonts w:ascii="Rockwell" w:hAnsi="Rockwell"/>
                <w:b/>
                <w:sz w:val="18"/>
                <w:szCs w:val="18"/>
              </w:rPr>
            </w:pPr>
          </w:p>
        </w:tc>
      </w:tr>
    </w:tbl>
    <w:p w:rsidR="002E16C5" w:rsidRPr="002E16C5" w:rsidRDefault="002E16C5" w:rsidP="002E16C5">
      <w:pPr>
        <w:rPr>
          <w:rFonts w:ascii="Rockwell" w:hAnsi="Rockwell"/>
          <w:b/>
          <w:sz w:val="20"/>
          <w:szCs w:val="20"/>
        </w:rPr>
      </w:pPr>
      <w:r w:rsidRPr="002E16C5">
        <w:rPr>
          <w:rFonts w:ascii="Rockwell" w:hAnsi="Rockwell"/>
          <w:b/>
          <w:sz w:val="20"/>
          <w:szCs w:val="20"/>
        </w:rPr>
        <w:t>1776</w:t>
      </w:r>
    </w:p>
    <w:p w:rsidR="002E16C5" w:rsidRPr="002E16C5" w:rsidRDefault="002E16C5" w:rsidP="002E16C5">
      <w:pPr>
        <w:rPr>
          <w:rFonts w:ascii="Rockwell" w:hAnsi="Rockwell"/>
          <w:sz w:val="20"/>
          <w:szCs w:val="20"/>
        </w:rPr>
      </w:pPr>
      <w:r w:rsidRPr="002E16C5">
        <w:rPr>
          <w:rFonts w:ascii="Rockwell" w:hAnsi="Rockwell"/>
          <w:sz w:val="20"/>
          <w:szCs w:val="20"/>
        </w:rPr>
        <w:t xml:space="preserve">Event: </w:t>
      </w:r>
      <w:r w:rsidRPr="002E16C5">
        <w:rPr>
          <w:rFonts w:ascii="Rockwell" w:hAnsi="Rockwell"/>
          <w:sz w:val="20"/>
          <w:szCs w:val="20"/>
        </w:rPr>
        <w:t>Declaration of Independe</w:t>
      </w:r>
      <w:r w:rsidRPr="002E16C5">
        <w:rPr>
          <w:rFonts w:ascii="Rockwell" w:hAnsi="Rockwell"/>
          <w:sz w:val="20"/>
          <w:szCs w:val="20"/>
        </w:rPr>
        <w:t>nce</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1789</w:t>
      </w:r>
    </w:p>
    <w:p w:rsidR="002E16C5" w:rsidRPr="002E16C5" w:rsidRDefault="002E16C5" w:rsidP="002E16C5">
      <w:pPr>
        <w:rPr>
          <w:rFonts w:ascii="Rockwell" w:hAnsi="Rockwell"/>
          <w:sz w:val="20"/>
          <w:szCs w:val="20"/>
        </w:rPr>
      </w:pPr>
      <w:r w:rsidRPr="002E16C5">
        <w:rPr>
          <w:rFonts w:ascii="Rockwell" w:hAnsi="Rockwell"/>
          <w:sz w:val="20"/>
          <w:szCs w:val="20"/>
        </w:rPr>
        <w:t>Event: Ratification of the Constitution</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lastRenderedPageBreak/>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1800</w:t>
      </w:r>
    </w:p>
    <w:p w:rsidR="002E16C5" w:rsidRPr="002E16C5" w:rsidRDefault="002E16C5" w:rsidP="002E16C5">
      <w:pPr>
        <w:rPr>
          <w:rFonts w:ascii="Rockwell" w:hAnsi="Rockwell"/>
          <w:sz w:val="20"/>
          <w:szCs w:val="20"/>
        </w:rPr>
      </w:pPr>
      <w:r w:rsidRPr="002E16C5">
        <w:rPr>
          <w:rFonts w:ascii="Rockwell" w:hAnsi="Rockwell"/>
          <w:sz w:val="20"/>
          <w:szCs w:val="20"/>
        </w:rPr>
        <w:t>Event: Revolution of 1800</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753BA4" w:rsidRPr="002E16C5" w:rsidRDefault="00753BA4">
      <w:pPr>
        <w:rPr>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1803</w:t>
      </w:r>
    </w:p>
    <w:p w:rsidR="002E16C5" w:rsidRPr="002E16C5" w:rsidRDefault="002E16C5" w:rsidP="002E16C5">
      <w:pPr>
        <w:rPr>
          <w:rFonts w:ascii="Rockwell" w:hAnsi="Rockwell"/>
          <w:sz w:val="20"/>
          <w:szCs w:val="20"/>
        </w:rPr>
      </w:pPr>
      <w:r w:rsidRPr="002E16C5">
        <w:rPr>
          <w:rFonts w:ascii="Rockwell" w:hAnsi="Rockwell"/>
          <w:sz w:val="20"/>
          <w:szCs w:val="20"/>
        </w:rPr>
        <w:t xml:space="preserve">Event: Louisiana Purchase </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1803</w:t>
      </w:r>
    </w:p>
    <w:p w:rsidR="002E16C5" w:rsidRPr="002E16C5" w:rsidRDefault="002E16C5" w:rsidP="002E16C5">
      <w:pPr>
        <w:rPr>
          <w:rFonts w:ascii="Rockwell" w:hAnsi="Rockwell"/>
          <w:sz w:val="20"/>
          <w:szCs w:val="20"/>
        </w:rPr>
      </w:pPr>
      <w:r w:rsidRPr="002E16C5">
        <w:rPr>
          <w:rFonts w:ascii="Rockwell" w:hAnsi="Rockwell"/>
          <w:sz w:val="20"/>
          <w:szCs w:val="20"/>
        </w:rPr>
        <w:t>Event: Marbury v. Madison</w:t>
      </w:r>
    </w:p>
    <w:p w:rsidR="002E16C5" w:rsidRPr="002E16C5" w:rsidRDefault="002E16C5" w:rsidP="002E16C5">
      <w:pPr>
        <w:rPr>
          <w:rFonts w:ascii="Rockwell" w:hAnsi="Rockwell"/>
          <w:sz w:val="20"/>
          <w:szCs w:val="20"/>
        </w:rPr>
      </w:pPr>
      <w:r w:rsidRPr="002E16C5">
        <w:rPr>
          <w:rFonts w:ascii="Rockwell" w:hAnsi="Rockwell"/>
          <w:sz w:val="20"/>
          <w:szCs w:val="20"/>
        </w:rPr>
        <w:lastRenderedPageBreak/>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b/>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1814</w:t>
      </w:r>
    </w:p>
    <w:p w:rsidR="002E16C5" w:rsidRPr="002E16C5" w:rsidRDefault="002E16C5" w:rsidP="002E16C5">
      <w:pPr>
        <w:rPr>
          <w:rFonts w:ascii="Rockwell" w:hAnsi="Rockwell"/>
          <w:sz w:val="20"/>
          <w:szCs w:val="20"/>
        </w:rPr>
      </w:pPr>
      <w:r w:rsidRPr="002E16C5">
        <w:rPr>
          <w:rFonts w:ascii="Rockwell" w:hAnsi="Rockwell"/>
          <w:sz w:val="20"/>
          <w:szCs w:val="20"/>
        </w:rPr>
        <w:t>Event: Treaty of Ghent</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1848</w:t>
      </w:r>
    </w:p>
    <w:p w:rsidR="002E16C5" w:rsidRPr="002E16C5" w:rsidRDefault="002E16C5" w:rsidP="002E16C5">
      <w:pPr>
        <w:rPr>
          <w:rFonts w:ascii="Rockwell" w:hAnsi="Rockwell"/>
          <w:sz w:val="20"/>
          <w:szCs w:val="20"/>
        </w:rPr>
      </w:pPr>
      <w:r w:rsidRPr="002E16C5">
        <w:rPr>
          <w:rFonts w:ascii="Rockwell" w:hAnsi="Rockwell"/>
          <w:sz w:val="20"/>
          <w:szCs w:val="20"/>
        </w:rPr>
        <w:t>Event:  Treaty of Guadalupe-Hidalgo</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lastRenderedPageBreak/>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pPr>
        <w:rPr>
          <w:sz w:val="20"/>
          <w:szCs w:val="20"/>
        </w:rPr>
      </w:pPr>
      <w:proofErr w:type="gramStart"/>
      <w:r w:rsidRPr="002E16C5">
        <w:rPr>
          <w:sz w:val="20"/>
          <w:szCs w:val="20"/>
        </w:rPr>
        <w:t>c</w:t>
      </w:r>
      <w:proofErr w:type="gramEnd"/>
      <w:r w:rsidRPr="002E16C5">
        <w:rPr>
          <w:sz w:val="20"/>
          <w:szCs w:val="20"/>
        </w:rPr>
        <w:t>.</w:t>
      </w:r>
    </w:p>
    <w:p w:rsidR="002E16C5" w:rsidRPr="002E16C5" w:rsidRDefault="002E16C5" w:rsidP="002E16C5">
      <w:pPr>
        <w:rPr>
          <w:rFonts w:ascii="Rockwell" w:hAnsi="Rockwell"/>
          <w:b/>
          <w:sz w:val="20"/>
          <w:szCs w:val="20"/>
        </w:rPr>
      </w:pPr>
      <w:r w:rsidRPr="002E16C5">
        <w:rPr>
          <w:rFonts w:ascii="Rockwell" w:hAnsi="Rockwell"/>
          <w:b/>
          <w:sz w:val="20"/>
          <w:szCs w:val="20"/>
        </w:rPr>
        <w:t>1861</w:t>
      </w:r>
    </w:p>
    <w:p w:rsidR="002E16C5" w:rsidRPr="002E16C5" w:rsidRDefault="002E16C5" w:rsidP="002E16C5">
      <w:pPr>
        <w:rPr>
          <w:rFonts w:ascii="Rockwell" w:hAnsi="Rockwell"/>
          <w:sz w:val="20"/>
          <w:szCs w:val="20"/>
        </w:rPr>
      </w:pPr>
      <w:r w:rsidRPr="002E16C5">
        <w:rPr>
          <w:rFonts w:ascii="Rockwell" w:hAnsi="Rockwell"/>
          <w:sz w:val="20"/>
          <w:szCs w:val="20"/>
        </w:rPr>
        <w:t>Event:  Outbreak of Civil War</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pPr>
        <w:rPr>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1865</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End of the Civil War</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1877</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Compromise of 1877</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r w:rsidRPr="002E16C5">
        <w:rPr>
          <w:rFonts w:ascii="Rockwell" w:hAnsi="Rockwell"/>
          <w:sz w:val="20"/>
          <w:szCs w:val="20"/>
        </w:rPr>
        <w:lastRenderedPageBreak/>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1914</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Outbreak of WWI</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1919</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Treaty of Versailles</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b/>
          <w:sz w:val="20"/>
          <w:szCs w:val="20"/>
        </w:rPr>
      </w:pPr>
      <w:r w:rsidRPr="002E16C5">
        <w:rPr>
          <w:rFonts w:ascii="Rockwell" w:hAnsi="Rockwell"/>
          <w:b/>
          <w:sz w:val="20"/>
          <w:szCs w:val="20"/>
        </w:rPr>
        <w:lastRenderedPageBreak/>
        <w:t>1929</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Stock Market Crash</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pPr>
        <w:rPr>
          <w:sz w:val="20"/>
          <w:szCs w:val="20"/>
        </w:rPr>
      </w:pPr>
    </w:p>
    <w:p w:rsidR="002E16C5" w:rsidRPr="002E16C5" w:rsidRDefault="002E16C5">
      <w:pPr>
        <w:rPr>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1941</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Attack on Pearl Harbor</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1945</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End of WWII</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lastRenderedPageBreak/>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1954</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Brown v. Board of Education Decision</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1960</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First Sit-in’s Greensboro NC</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lastRenderedPageBreak/>
        <w:t>1964</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Civil Rights Act</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pPr>
        <w:rPr>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1968</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w:t>
      </w:r>
      <w:proofErr w:type="spellStart"/>
      <w:r w:rsidRPr="002E16C5">
        <w:rPr>
          <w:rFonts w:ascii="Rockwell" w:hAnsi="Rockwell"/>
          <w:sz w:val="20"/>
          <w:szCs w:val="20"/>
        </w:rPr>
        <w:t>Assasination</w:t>
      </w:r>
      <w:proofErr w:type="spellEnd"/>
      <w:r w:rsidRPr="002E16C5">
        <w:rPr>
          <w:rFonts w:ascii="Rockwell" w:hAnsi="Rockwell"/>
          <w:sz w:val="20"/>
          <w:szCs w:val="20"/>
        </w:rPr>
        <w:t xml:space="preserve"> of MLK and RFK</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1973</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War Powers Resolution</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lastRenderedPageBreak/>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1989</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Berlin Wall Come Down</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pPr>
        <w:rPr>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1994</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Republican Landslide in Congress</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b/>
          <w:sz w:val="20"/>
          <w:szCs w:val="20"/>
        </w:rPr>
      </w:pPr>
      <w:r w:rsidRPr="002E16C5">
        <w:rPr>
          <w:rFonts w:ascii="Rockwell" w:hAnsi="Rockwell"/>
          <w:b/>
          <w:sz w:val="20"/>
          <w:szCs w:val="20"/>
        </w:rPr>
        <w:lastRenderedPageBreak/>
        <w:t>2001</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Attack on the World Trade Center</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b/>
          <w:sz w:val="20"/>
          <w:szCs w:val="20"/>
        </w:rPr>
      </w:pPr>
      <w:r w:rsidRPr="002E16C5">
        <w:rPr>
          <w:rFonts w:ascii="Rockwell" w:hAnsi="Rockwell"/>
          <w:b/>
          <w:sz w:val="20"/>
          <w:szCs w:val="20"/>
        </w:rPr>
        <w:t>2008</w:t>
      </w:r>
    </w:p>
    <w:p w:rsidR="002E16C5" w:rsidRPr="002E16C5" w:rsidRDefault="002E16C5" w:rsidP="002E16C5">
      <w:pPr>
        <w:rPr>
          <w:rFonts w:ascii="Rockwell" w:hAnsi="Rockwell"/>
          <w:sz w:val="20"/>
          <w:szCs w:val="20"/>
        </w:rPr>
      </w:pPr>
      <w:r w:rsidRPr="002E16C5">
        <w:rPr>
          <w:rFonts w:ascii="Rockwell" w:hAnsi="Rockwell"/>
          <w:sz w:val="20"/>
          <w:szCs w:val="20"/>
        </w:rPr>
        <w:t>Event:</w:t>
      </w:r>
      <w:r w:rsidRPr="002E16C5">
        <w:rPr>
          <w:rFonts w:ascii="Rockwell" w:hAnsi="Rockwell"/>
          <w:sz w:val="20"/>
          <w:szCs w:val="20"/>
        </w:rPr>
        <w:t xml:space="preserve">  Election of Barack Obama</w:t>
      </w:r>
    </w:p>
    <w:p w:rsidR="002E16C5" w:rsidRPr="002E16C5" w:rsidRDefault="002E16C5" w:rsidP="002E16C5">
      <w:pPr>
        <w:rPr>
          <w:rFonts w:ascii="Rockwell" w:hAnsi="Rockwell"/>
          <w:sz w:val="20"/>
          <w:szCs w:val="20"/>
        </w:rPr>
      </w:pPr>
      <w:r w:rsidRPr="002E16C5">
        <w:rPr>
          <w:rFonts w:ascii="Rockwell" w:hAnsi="Rockwell"/>
          <w:sz w:val="20"/>
          <w:szCs w:val="20"/>
        </w:rPr>
        <w:t>Significance:</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r w:rsidRPr="002E16C5">
        <w:rPr>
          <w:rFonts w:ascii="Rockwell" w:hAnsi="Rockwell"/>
          <w:sz w:val="20"/>
          <w:szCs w:val="20"/>
        </w:rPr>
        <w:t>Related Events:</w:t>
      </w:r>
    </w:p>
    <w:p w:rsidR="002E16C5" w:rsidRPr="002E16C5" w:rsidRDefault="002E16C5" w:rsidP="002E16C5">
      <w:pPr>
        <w:rPr>
          <w:rFonts w:ascii="Rockwell" w:hAnsi="Rockwell"/>
          <w:sz w:val="20"/>
          <w:szCs w:val="20"/>
        </w:rPr>
      </w:pPr>
      <w:proofErr w:type="gramStart"/>
      <w:r w:rsidRPr="002E16C5">
        <w:rPr>
          <w:rFonts w:ascii="Rockwell" w:hAnsi="Rockwell"/>
          <w:sz w:val="20"/>
          <w:szCs w:val="20"/>
        </w:rPr>
        <w:t>a</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b</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p>
    <w:p w:rsidR="002E16C5" w:rsidRPr="002E16C5" w:rsidRDefault="002E16C5" w:rsidP="002E16C5">
      <w:pPr>
        <w:rPr>
          <w:rFonts w:ascii="Rockwell" w:hAnsi="Rockwell"/>
          <w:sz w:val="20"/>
          <w:szCs w:val="20"/>
        </w:rPr>
      </w:pPr>
      <w:proofErr w:type="gramStart"/>
      <w:r w:rsidRPr="002E16C5">
        <w:rPr>
          <w:rFonts w:ascii="Rockwell" w:hAnsi="Rockwell"/>
          <w:sz w:val="20"/>
          <w:szCs w:val="20"/>
        </w:rPr>
        <w:t>c</w:t>
      </w:r>
      <w:proofErr w:type="gramEnd"/>
      <w:r w:rsidRPr="002E16C5">
        <w:rPr>
          <w:rFonts w:ascii="Rockwell" w:hAnsi="Rockwell"/>
          <w:sz w:val="20"/>
          <w:szCs w:val="20"/>
        </w:rPr>
        <w:t>.</w:t>
      </w:r>
    </w:p>
    <w:p w:rsidR="002E16C5" w:rsidRPr="002E16C5" w:rsidRDefault="002E16C5" w:rsidP="002E16C5">
      <w:pPr>
        <w:rPr>
          <w:rFonts w:ascii="Rockwell" w:hAnsi="Rockwell"/>
          <w:sz w:val="20"/>
          <w:szCs w:val="20"/>
        </w:rPr>
      </w:pPr>
      <w:bookmarkStart w:id="0" w:name="_GoBack"/>
      <w:bookmarkEnd w:id="0"/>
    </w:p>
    <w:p w:rsidR="002E16C5" w:rsidRPr="002E16C5" w:rsidRDefault="002E16C5">
      <w:pPr>
        <w:rPr>
          <w:sz w:val="20"/>
          <w:szCs w:val="20"/>
        </w:rPr>
      </w:pPr>
    </w:p>
    <w:p w:rsidR="002E16C5" w:rsidRPr="002E16C5" w:rsidRDefault="002E16C5">
      <w:pPr>
        <w:rPr>
          <w:sz w:val="20"/>
          <w:szCs w:val="20"/>
        </w:rPr>
      </w:pPr>
    </w:p>
    <w:p w:rsidR="002E16C5" w:rsidRPr="002E16C5" w:rsidRDefault="002E16C5">
      <w:pPr>
        <w:rPr>
          <w:sz w:val="20"/>
          <w:szCs w:val="20"/>
        </w:rPr>
      </w:pPr>
    </w:p>
    <w:sectPr w:rsidR="002E16C5" w:rsidRPr="002E16C5" w:rsidSect="002E1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C5"/>
    <w:rsid w:val="002E16C5"/>
    <w:rsid w:val="00401201"/>
    <w:rsid w:val="00753BA4"/>
    <w:rsid w:val="00A7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1</cp:revision>
  <dcterms:created xsi:type="dcterms:W3CDTF">2018-03-26T17:25:00Z</dcterms:created>
  <dcterms:modified xsi:type="dcterms:W3CDTF">2018-03-26T17:47:00Z</dcterms:modified>
</cp:coreProperties>
</file>